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D0" w:rsidRPr="00072F5D" w:rsidRDefault="005C61D0" w:rsidP="005C61D0">
      <w:pPr>
        <w:tabs>
          <w:tab w:val="left" w:pos="885"/>
        </w:tabs>
        <w:rPr>
          <w:rFonts w:ascii="Arial" w:hAnsi="Arial" w:cs="Arial"/>
          <w:b/>
          <w:bCs/>
          <w:sz w:val="24"/>
          <w:szCs w:val="24"/>
        </w:rPr>
      </w:pP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8"/>
          <w:szCs w:val="28"/>
        </w:rPr>
      </w:pP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B9262E">
        <w:rPr>
          <w:rFonts w:ascii="Arial" w:hAnsi="Arial" w:cs="Arial"/>
          <w:b/>
          <w:sz w:val="28"/>
          <w:szCs w:val="28"/>
        </w:rPr>
        <w:t>COMITE D'ENGAGEMENT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9262E">
        <w:rPr>
          <w:rFonts w:ascii="Arial" w:hAnsi="Arial" w:cs="Arial"/>
          <w:b/>
          <w:sz w:val="28"/>
          <w:szCs w:val="28"/>
        </w:rPr>
        <w:t>du</w:t>
      </w:r>
      <w:proofErr w:type="gramEnd"/>
      <w:r w:rsidRPr="00B9262E">
        <w:rPr>
          <w:rFonts w:ascii="Arial" w:hAnsi="Arial" w:cs="Arial"/>
          <w:b/>
          <w:sz w:val="28"/>
          <w:szCs w:val="28"/>
        </w:rPr>
        <w:t xml:space="preserve"> Fonds Eperon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B9262E">
        <w:rPr>
          <w:rFonts w:ascii="Arial" w:hAnsi="Arial" w:cs="Arial"/>
          <w:b/>
          <w:sz w:val="28"/>
          <w:szCs w:val="28"/>
        </w:rPr>
        <w:t>_____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F80FA7" w:rsidRDefault="00C33987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Bilan</w:t>
      </w:r>
      <w:r w:rsidR="003341A9">
        <w:rPr>
          <w:rFonts w:ascii="Arial" w:hAnsi="Arial" w:cs="Arial"/>
          <w:b/>
          <w:sz w:val="28"/>
          <w:szCs w:val="28"/>
        </w:rPr>
        <w:t xml:space="preserve"> de l'exercice 2012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5C61D0" w:rsidRPr="00072F5D" w:rsidRDefault="005C61D0" w:rsidP="005C61D0">
      <w:pPr>
        <w:jc w:val="both"/>
        <w:rPr>
          <w:rFonts w:ascii="Arial" w:hAnsi="Arial" w:cs="Arial"/>
          <w:sz w:val="24"/>
          <w:szCs w:val="24"/>
        </w:rPr>
      </w:pPr>
    </w:p>
    <w:p w:rsidR="005C61D0" w:rsidRPr="00072F5D" w:rsidRDefault="005C61D0" w:rsidP="005C61D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C61D0" w:rsidRPr="00072F5D" w:rsidRDefault="00440B89" w:rsidP="005C61D0">
      <w:pPr>
        <w:pStyle w:val="Titre4"/>
        <w:numPr>
          <w:ilvl w:val="3"/>
          <w:numId w:val="0"/>
        </w:numPr>
        <w:tabs>
          <w:tab w:val="left" w:pos="0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Données quantitatives</w:t>
      </w:r>
    </w:p>
    <w:p w:rsidR="005C61D0" w:rsidRDefault="005C61D0" w:rsidP="005C61D0">
      <w:pPr>
        <w:jc w:val="both"/>
        <w:rPr>
          <w:rFonts w:ascii="Arial" w:hAnsi="Arial" w:cs="Arial"/>
          <w:sz w:val="24"/>
          <w:szCs w:val="24"/>
        </w:rPr>
      </w:pPr>
    </w:p>
    <w:p w:rsidR="003341A9" w:rsidRPr="00072F5D" w:rsidRDefault="00C33987" w:rsidP="005C61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</w:t>
      </w:r>
      <w:r w:rsidR="003341A9">
        <w:rPr>
          <w:rFonts w:ascii="Arial" w:hAnsi="Arial" w:cs="Arial"/>
          <w:sz w:val="24"/>
          <w:szCs w:val="24"/>
        </w:rPr>
        <w:t xml:space="preserve">ont </w:t>
      </w:r>
      <w:r>
        <w:rPr>
          <w:rFonts w:ascii="Arial" w:hAnsi="Arial" w:cs="Arial"/>
          <w:sz w:val="24"/>
          <w:szCs w:val="24"/>
        </w:rPr>
        <w:t xml:space="preserve">été très </w:t>
      </w:r>
      <w:r w:rsidR="003341A9">
        <w:rPr>
          <w:rFonts w:ascii="Arial" w:hAnsi="Arial" w:cs="Arial"/>
          <w:sz w:val="24"/>
          <w:szCs w:val="24"/>
        </w:rPr>
        <w:t xml:space="preserve">soutenues </w:t>
      </w:r>
      <w:r>
        <w:rPr>
          <w:rFonts w:ascii="Arial" w:hAnsi="Arial" w:cs="Arial"/>
          <w:sz w:val="24"/>
          <w:szCs w:val="24"/>
        </w:rPr>
        <w:t>pour un montant des projets dépassant les 100 millions d’</w:t>
      </w:r>
      <w:proofErr w:type="spellStart"/>
      <w:r>
        <w:rPr>
          <w:rFonts w:ascii="Arial" w:hAnsi="Arial" w:cs="Arial"/>
          <w:sz w:val="24"/>
          <w:szCs w:val="24"/>
        </w:rPr>
        <w:t>€uros</w:t>
      </w:r>
      <w:proofErr w:type="spellEnd"/>
      <w:r>
        <w:rPr>
          <w:rFonts w:ascii="Arial" w:hAnsi="Arial" w:cs="Arial"/>
          <w:sz w:val="24"/>
          <w:szCs w:val="24"/>
        </w:rPr>
        <w:t xml:space="preserve"> et un appel au Fonds encore plus soutenu qu’en 2011, à plus de 24 millions d’</w:t>
      </w:r>
      <w:proofErr w:type="spellStart"/>
      <w:r>
        <w:rPr>
          <w:rFonts w:ascii="Arial" w:hAnsi="Arial" w:cs="Arial"/>
          <w:sz w:val="24"/>
          <w:szCs w:val="24"/>
        </w:rPr>
        <w:t>€uros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C26EC" w:rsidRDefault="004C26EC" w:rsidP="004C26EC">
      <w:pPr>
        <w:jc w:val="both"/>
        <w:rPr>
          <w:rFonts w:ascii="Arial" w:hAnsi="Arial" w:cs="Arial"/>
          <w:sz w:val="24"/>
          <w:szCs w:val="24"/>
        </w:rPr>
      </w:pPr>
    </w:p>
    <w:p w:rsidR="0020598A" w:rsidRPr="004C26EC" w:rsidRDefault="0020598A" w:rsidP="004C26EC">
      <w:pPr>
        <w:jc w:val="both"/>
        <w:rPr>
          <w:rFonts w:ascii="Arial" w:hAnsi="Arial" w:cs="Arial"/>
          <w:sz w:val="24"/>
          <w:szCs w:val="24"/>
        </w:rPr>
      </w:pPr>
    </w:p>
    <w:p w:rsidR="00440B89" w:rsidRPr="00072F5D" w:rsidRDefault="00440B89" w:rsidP="00440B89">
      <w:pPr>
        <w:pStyle w:val="Titre4"/>
        <w:numPr>
          <w:ilvl w:val="3"/>
          <w:numId w:val="0"/>
        </w:numPr>
        <w:tabs>
          <w:tab w:val="left" w:pos="0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Résultats</w:t>
      </w:r>
    </w:p>
    <w:p w:rsidR="005C61D0" w:rsidRPr="00072F5D" w:rsidRDefault="005C61D0" w:rsidP="005C61D0">
      <w:pPr>
        <w:tabs>
          <w:tab w:val="left" w:pos="0"/>
        </w:tabs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1622"/>
        <w:gridCol w:w="1622"/>
        <w:gridCol w:w="1622"/>
        <w:gridCol w:w="1620"/>
        <w:gridCol w:w="1642"/>
      </w:tblGrid>
      <w:tr w:rsidR="005C61D0" w:rsidRPr="00072F5D">
        <w:trPr>
          <w:trHeight w:val="330"/>
        </w:trPr>
        <w:tc>
          <w:tcPr>
            <w:tcW w:w="3327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72F5D">
              <w:rPr>
                <w:rFonts w:ascii="Arial" w:hAnsi="Arial" w:cs="Arial"/>
                <w:b/>
                <w:bCs/>
              </w:rPr>
              <w:t>Demandes initiales</w:t>
            </w:r>
          </w:p>
          <w:p w:rsidR="005C61D0" w:rsidRPr="00072F5D" w:rsidRDefault="005C61D0" w:rsidP="005C61D0">
            <w:pPr>
              <w:pStyle w:val="Contenudetableau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72F5D">
              <w:rPr>
                <w:rFonts w:ascii="Arial" w:hAnsi="Arial" w:cs="Arial"/>
                <w:b/>
                <w:bCs/>
              </w:rPr>
              <w:t>Décisions du comité </w:t>
            </w:r>
          </w:p>
        </w:tc>
      </w:tr>
      <w:tr w:rsidR="005C61D0" w:rsidRPr="00072F5D"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Nb dossiers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Origine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Montant</w:t>
            </w:r>
          </w:p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projet €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Sollicitation</w:t>
            </w:r>
            <w:r w:rsidRPr="00072F5D">
              <w:rPr>
                <w:rFonts w:ascii="Arial" w:hAnsi="Arial" w:cs="Arial"/>
              </w:rPr>
              <w:br/>
              <w:t>au Fonds €</w:t>
            </w:r>
          </w:p>
        </w:tc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Dossiers</w:t>
            </w:r>
          </w:p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retenus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Plafond</w:t>
            </w:r>
            <w:r w:rsidRPr="00072F5D">
              <w:rPr>
                <w:rFonts w:ascii="Arial" w:hAnsi="Arial" w:cs="Arial"/>
              </w:rPr>
              <w:br/>
              <w:t>accordé €</w:t>
            </w:r>
          </w:p>
        </w:tc>
      </w:tr>
      <w:tr w:rsidR="005C61D0" w:rsidRPr="00072F5D"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C33987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Nationaux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C33987" w:rsidP="00440B89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83.095.627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C33987" w:rsidP="00440B89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17.492.718</w:t>
            </w:r>
          </w:p>
        </w:tc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C33987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1D0" w:rsidRPr="00072F5D" w:rsidRDefault="00C33987" w:rsidP="00584541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8.800.350</w:t>
            </w:r>
          </w:p>
        </w:tc>
      </w:tr>
      <w:tr w:rsidR="005C61D0" w:rsidRPr="00072F5D"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C33987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Régionaux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C33987" w:rsidP="00440B89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20.142.951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C33987" w:rsidP="00440B89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6.623.915</w:t>
            </w:r>
          </w:p>
        </w:tc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C33987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1D0" w:rsidRPr="00072F5D" w:rsidRDefault="00C33987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4.015.962</w:t>
            </w:r>
          </w:p>
        </w:tc>
      </w:tr>
    </w:tbl>
    <w:p w:rsidR="005C61D0" w:rsidRPr="009F7829" w:rsidRDefault="005C61D0" w:rsidP="005C61D0">
      <w:pPr>
        <w:pStyle w:val="Titre4"/>
        <w:numPr>
          <w:ilvl w:val="3"/>
          <w:numId w:val="0"/>
        </w:numPr>
        <w:tabs>
          <w:tab w:val="left" w:pos="0"/>
        </w:tabs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CD69E2" w:rsidRPr="009F7829" w:rsidRDefault="00CD69E2" w:rsidP="009F7829">
      <w:pPr>
        <w:rPr>
          <w:rFonts w:ascii="Arial" w:hAnsi="Arial" w:cs="Arial"/>
          <w:sz w:val="24"/>
          <w:szCs w:val="24"/>
        </w:rPr>
      </w:pPr>
    </w:p>
    <w:p w:rsidR="0087173C" w:rsidRPr="00072F5D" w:rsidRDefault="0087173C" w:rsidP="0087173C">
      <w:pPr>
        <w:pStyle w:val="Titre4"/>
        <w:numPr>
          <w:ilvl w:val="3"/>
          <w:numId w:val="0"/>
        </w:numPr>
        <w:tabs>
          <w:tab w:val="left" w:pos="0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Données </w:t>
      </w:r>
      <w:r w:rsidR="00392225">
        <w:rPr>
          <w:rFonts w:ascii="Arial" w:hAnsi="Arial" w:cs="Arial"/>
          <w:sz w:val="24"/>
          <w:szCs w:val="24"/>
        </w:rPr>
        <w:t>qualitatives</w:t>
      </w:r>
    </w:p>
    <w:p w:rsidR="0087173C" w:rsidRDefault="0087173C" w:rsidP="00234597">
      <w:pPr>
        <w:jc w:val="both"/>
        <w:rPr>
          <w:rFonts w:ascii="Arial" w:hAnsi="Arial" w:cs="Arial"/>
          <w:sz w:val="24"/>
          <w:szCs w:val="24"/>
        </w:rPr>
      </w:pPr>
    </w:p>
    <w:p w:rsidR="0020598A" w:rsidRDefault="0020598A" w:rsidP="002345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 voit la poursuite de la structuration de la filière avec la création de la S</w:t>
      </w:r>
      <w:r w:rsidR="00855A8A">
        <w:rPr>
          <w:rFonts w:ascii="Arial" w:hAnsi="Arial" w:cs="Arial"/>
          <w:sz w:val="24"/>
          <w:szCs w:val="24"/>
        </w:rPr>
        <w:t xml:space="preserve">ociété Française des Equidés de Travail (S.F.E.T.) qui rassemble et structure tous les équidés autres que ceux </w:t>
      </w:r>
      <w:r w:rsidR="00662A2C">
        <w:rPr>
          <w:rFonts w:ascii="Arial" w:hAnsi="Arial" w:cs="Arial"/>
          <w:sz w:val="24"/>
          <w:szCs w:val="24"/>
        </w:rPr>
        <w:t>destinés</w:t>
      </w:r>
      <w:r w:rsidR="00855A8A">
        <w:rPr>
          <w:rFonts w:ascii="Arial" w:hAnsi="Arial" w:cs="Arial"/>
          <w:sz w:val="24"/>
          <w:szCs w:val="24"/>
        </w:rPr>
        <w:t xml:space="preserve"> aux </w:t>
      </w:r>
      <w:r w:rsidR="00AB507B">
        <w:rPr>
          <w:rFonts w:ascii="Arial" w:hAnsi="Arial" w:cs="Arial"/>
          <w:sz w:val="24"/>
          <w:szCs w:val="24"/>
        </w:rPr>
        <w:t>disciplines sportives, à savoir : les chevaux lourds, les chevaux de loisirs et les poneys.</w:t>
      </w:r>
    </w:p>
    <w:p w:rsidR="00AB507B" w:rsidRDefault="00AB507B" w:rsidP="00234597">
      <w:pPr>
        <w:jc w:val="both"/>
        <w:rPr>
          <w:rFonts w:ascii="Arial" w:hAnsi="Arial" w:cs="Arial"/>
          <w:sz w:val="24"/>
          <w:szCs w:val="24"/>
        </w:rPr>
      </w:pPr>
    </w:p>
    <w:p w:rsidR="00AB507B" w:rsidRDefault="00AB507B" w:rsidP="002345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variété des projets est toujours aussi forte, même si on voit croître ceux liés à la valorisation compte-tenu des difficultés croissantes rencontrées par les producteurs.</w:t>
      </w:r>
    </w:p>
    <w:p w:rsidR="00AB507B" w:rsidRDefault="00AB507B" w:rsidP="00234597">
      <w:pPr>
        <w:jc w:val="both"/>
        <w:rPr>
          <w:rFonts w:ascii="Arial" w:hAnsi="Arial" w:cs="Arial"/>
          <w:sz w:val="24"/>
          <w:szCs w:val="24"/>
        </w:rPr>
      </w:pPr>
    </w:p>
    <w:p w:rsidR="00AB507B" w:rsidRDefault="00AB507B" w:rsidP="002345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Parmi les plus notable</w:t>
      </w:r>
      <w:r w:rsidR="00CF1922">
        <w:rPr>
          <w:rFonts w:ascii="Arial" w:hAnsi="Arial" w:cs="Arial"/>
          <w:sz w:val="24"/>
          <w:szCs w:val="24"/>
        </w:rPr>
        <w:t>s</w:t>
      </w:r>
      <w:r w:rsidR="00757E2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on note :</w:t>
      </w:r>
    </w:p>
    <w:p w:rsidR="00AB507B" w:rsidRDefault="00AB507B" w:rsidP="00234597">
      <w:pPr>
        <w:jc w:val="both"/>
        <w:rPr>
          <w:rFonts w:ascii="Arial" w:hAnsi="Arial" w:cs="Arial"/>
          <w:sz w:val="24"/>
          <w:szCs w:val="24"/>
        </w:rPr>
      </w:pPr>
    </w:p>
    <w:p w:rsidR="00AB507B" w:rsidRDefault="00AB507B" w:rsidP="00AB507B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Réseau d’</w:t>
      </w:r>
      <w:proofErr w:type="spellStart"/>
      <w:r>
        <w:rPr>
          <w:rFonts w:ascii="Arial" w:hAnsi="Arial" w:cs="Arial"/>
          <w:sz w:val="24"/>
          <w:szCs w:val="24"/>
        </w:rPr>
        <w:t>Epidémio</w:t>
      </w:r>
      <w:proofErr w:type="spellEnd"/>
      <w:r>
        <w:rPr>
          <w:rFonts w:ascii="Arial" w:hAnsi="Arial" w:cs="Arial"/>
          <w:sz w:val="24"/>
          <w:szCs w:val="24"/>
        </w:rPr>
        <w:t xml:space="preserve"> Surveillance en Pathologie Equine (R.E.S.P.E.),</w:t>
      </w:r>
    </w:p>
    <w:p w:rsidR="00AB507B" w:rsidRDefault="00AB507B" w:rsidP="00AB507B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proofErr w:type="spellStart"/>
      <w:r>
        <w:rPr>
          <w:rFonts w:ascii="Arial" w:hAnsi="Arial" w:cs="Arial"/>
          <w:sz w:val="24"/>
          <w:szCs w:val="24"/>
        </w:rPr>
        <w:t>Equi</w:t>
      </w:r>
      <w:proofErr w:type="spellEnd"/>
      <w:r>
        <w:rPr>
          <w:rFonts w:ascii="Arial" w:hAnsi="Arial" w:cs="Arial"/>
          <w:sz w:val="24"/>
          <w:szCs w:val="24"/>
        </w:rPr>
        <w:t xml:space="preserve"> Plateforme de Caen,</w:t>
      </w:r>
    </w:p>
    <w:p w:rsidR="00AB507B" w:rsidRDefault="00AB507B" w:rsidP="00AB507B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L’aide à la collecte et à la gestion d’échantillons sanguins (LABOGENA),</w:t>
      </w:r>
    </w:p>
    <w:p w:rsidR="00AB507B" w:rsidRDefault="00AB507B" w:rsidP="00AB507B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L’aménagement </w:t>
      </w:r>
      <w:r w:rsidR="000D7282">
        <w:rPr>
          <w:rFonts w:ascii="Arial" w:hAnsi="Arial" w:cs="Arial"/>
          <w:sz w:val="24"/>
          <w:szCs w:val="24"/>
        </w:rPr>
        <w:t xml:space="preserve">du Parc du Cheval de </w:t>
      </w:r>
      <w:proofErr w:type="spellStart"/>
      <w:r w:rsidR="000D7282">
        <w:rPr>
          <w:rFonts w:ascii="Arial" w:hAnsi="Arial" w:cs="Arial"/>
          <w:sz w:val="24"/>
          <w:szCs w:val="24"/>
        </w:rPr>
        <w:t>Chazey</w:t>
      </w:r>
      <w:proofErr w:type="spellEnd"/>
      <w:r w:rsidR="000D7282">
        <w:rPr>
          <w:rFonts w:ascii="Arial" w:hAnsi="Arial" w:cs="Arial"/>
          <w:sz w:val="24"/>
          <w:szCs w:val="24"/>
        </w:rPr>
        <w:t>-sur-Ain,</w:t>
      </w:r>
    </w:p>
    <w:p w:rsidR="000D7282" w:rsidRDefault="000D7282" w:rsidP="00AB507B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L’aménagement du Stade </w:t>
      </w:r>
      <w:r w:rsidR="00C33987">
        <w:rPr>
          <w:rFonts w:ascii="Arial" w:hAnsi="Arial" w:cs="Arial"/>
          <w:sz w:val="24"/>
          <w:szCs w:val="24"/>
        </w:rPr>
        <w:t>Equestre de Compiègne,</w:t>
      </w:r>
    </w:p>
    <w:p w:rsidR="00C33987" w:rsidRDefault="00C33987" w:rsidP="00AB507B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Jeux Equestres Mondiaux 2014,</w:t>
      </w:r>
    </w:p>
    <w:p w:rsidR="009759B3" w:rsidRDefault="000B1A51" w:rsidP="00AB507B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L’Union Nationale Interp</w:t>
      </w:r>
      <w:bookmarkStart w:id="0" w:name="_GoBack"/>
      <w:bookmarkEnd w:id="0"/>
      <w:r w:rsidR="009759B3">
        <w:rPr>
          <w:rFonts w:ascii="Arial" w:hAnsi="Arial" w:cs="Arial"/>
          <w:sz w:val="24"/>
          <w:szCs w:val="24"/>
        </w:rPr>
        <w:t>rofessionnelle du Cheval (U.N.I.C.),</w:t>
      </w:r>
    </w:p>
    <w:p w:rsidR="009759B3" w:rsidRDefault="009759B3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759B3" w:rsidRDefault="009759B3" w:rsidP="009759B3">
      <w:pPr>
        <w:jc w:val="both"/>
        <w:rPr>
          <w:rFonts w:ascii="Arial" w:hAnsi="Arial" w:cs="Arial"/>
          <w:sz w:val="24"/>
          <w:szCs w:val="24"/>
        </w:rPr>
      </w:pPr>
    </w:p>
    <w:p w:rsidR="009759B3" w:rsidRDefault="009759B3" w:rsidP="009759B3">
      <w:pPr>
        <w:jc w:val="both"/>
        <w:rPr>
          <w:rFonts w:ascii="Arial" w:hAnsi="Arial" w:cs="Arial"/>
          <w:sz w:val="24"/>
          <w:szCs w:val="24"/>
        </w:rPr>
      </w:pPr>
    </w:p>
    <w:p w:rsidR="009759B3" w:rsidRDefault="009759B3" w:rsidP="009759B3">
      <w:pPr>
        <w:jc w:val="both"/>
        <w:rPr>
          <w:rFonts w:ascii="Arial" w:hAnsi="Arial" w:cs="Arial"/>
          <w:sz w:val="24"/>
          <w:szCs w:val="24"/>
        </w:rPr>
      </w:pPr>
    </w:p>
    <w:p w:rsidR="009759B3" w:rsidRPr="009759B3" w:rsidRDefault="009759B3" w:rsidP="009759B3">
      <w:pPr>
        <w:jc w:val="both"/>
        <w:rPr>
          <w:rFonts w:ascii="Arial" w:hAnsi="Arial" w:cs="Arial"/>
          <w:sz w:val="24"/>
          <w:szCs w:val="24"/>
        </w:rPr>
      </w:pPr>
    </w:p>
    <w:p w:rsidR="009759B3" w:rsidRDefault="009759B3" w:rsidP="00AB507B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L’Institut de l’élevage,</w:t>
      </w:r>
    </w:p>
    <w:p w:rsidR="00C33987" w:rsidRDefault="00C33987" w:rsidP="00AB507B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finale de la Coupe du Monde F.E.I.,</w:t>
      </w:r>
    </w:p>
    <w:p w:rsidR="00C33987" w:rsidRDefault="00C33987" w:rsidP="00C33987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Centre de promotion de l’Elevage à Saint-Lô.</w:t>
      </w:r>
    </w:p>
    <w:p w:rsidR="00C33987" w:rsidRDefault="00C33987" w:rsidP="00C33987">
      <w:pPr>
        <w:jc w:val="both"/>
        <w:rPr>
          <w:rFonts w:ascii="Arial" w:hAnsi="Arial" w:cs="Arial"/>
          <w:sz w:val="24"/>
          <w:szCs w:val="24"/>
        </w:rPr>
      </w:pPr>
    </w:p>
    <w:p w:rsidR="00C33987" w:rsidRDefault="00C33987" w:rsidP="00C339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L’enveloppe spéciale de 3 M€ (Fonds Eperon 2) a été confortée de 0,5 M€ en provenance du Fonds Eperon traditionnel (Fonds Eperon 1) et a été utilisée intégralement pour la dotation des épreuves d’élevage organisées par la Société Hippique Française, société-mère des épreuves de jeunes chevaux (S.H.F.) pour : </w:t>
      </w:r>
    </w:p>
    <w:p w:rsidR="00C33987" w:rsidRDefault="00C33987" w:rsidP="00C33987">
      <w:pPr>
        <w:jc w:val="both"/>
        <w:rPr>
          <w:rFonts w:ascii="Arial" w:hAnsi="Arial" w:cs="Arial"/>
          <w:sz w:val="24"/>
          <w:szCs w:val="24"/>
        </w:rPr>
      </w:pPr>
    </w:p>
    <w:p w:rsidR="00C33987" w:rsidRDefault="00C33987" w:rsidP="00C33987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dotation des épreuves d’éleva</w:t>
      </w:r>
      <w:r w:rsidR="009201AC">
        <w:rPr>
          <w:rFonts w:ascii="Arial" w:hAnsi="Arial" w:cs="Arial"/>
          <w:sz w:val="24"/>
          <w:szCs w:val="24"/>
        </w:rPr>
        <w:t>ge, répartie sur l’ensemble du territoire et leurs finales lors de la Grande Semaine de Fontainebleau,</w:t>
      </w:r>
    </w:p>
    <w:p w:rsidR="009201AC" w:rsidRDefault="009201AC" w:rsidP="00C33987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Prime d’Aptitude à la Compétition Equestre (P.A.C.E.),</w:t>
      </w:r>
    </w:p>
    <w:p w:rsidR="009201AC" w:rsidRPr="009201AC" w:rsidRDefault="009201AC" w:rsidP="009201AC">
      <w:pPr>
        <w:jc w:val="both"/>
        <w:rPr>
          <w:rFonts w:ascii="Arial" w:hAnsi="Arial" w:cs="Arial"/>
          <w:sz w:val="24"/>
          <w:szCs w:val="24"/>
        </w:rPr>
      </w:pPr>
    </w:p>
    <w:p w:rsidR="00C33987" w:rsidRDefault="00C33987" w:rsidP="00C33987">
      <w:pPr>
        <w:jc w:val="both"/>
        <w:rPr>
          <w:rFonts w:ascii="Arial" w:hAnsi="Arial" w:cs="Arial"/>
          <w:sz w:val="24"/>
          <w:szCs w:val="24"/>
        </w:rPr>
      </w:pPr>
    </w:p>
    <w:p w:rsidR="009201AC" w:rsidRDefault="00C3145F" w:rsidP="00C339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201AC">
        <w:rPr>
          <w:rFonts w:ascii="Arial" w:hAnsi="Arial" w:cs="Arial"/>
          <w:sz w:val="24"/>
          <w:szCs w:val="24"/>
        </w:rPr>
        <w:t>es montants représentent la quasi-totalité des encouragements à l’élevage du secteur des sports équestres.</w:t>
      </w:r>
    </w:p>
    <w:p w:rsidR="009201AC" w:rsidRDefault="009201AC" w:rsidP="00C33987">
      <w:pPr>
        <w:jc w:val="both"/>
        <w:rPr>
          <w:rFonts w:ascii="Arial" w:hAnsi="Arial" w:cs="Arial"/>
          <w:sz w:val="24"/>
          <w:szCs w:val="24"/>
        </w:rPr>
      </w:pPr>
    </w:p>
    <w:p w:rsidR="009201AC" w:rsidRPr="00C33987" w:rsidRDefault="009201AC" w:rsidP="00C33987">
      <w:pPr>
        <w:jc w:val="both"/>
        <w:rPr>
          <w:rFonts w:ascii="Arial" w:hAnsi="Arial" w:cs="Arial"/>
          <w:sz w:val="24"/>
          <w:szCs w:val="24"/>
        </w:rPr>
      </w:pPr>
    </w:p>
    <w:sectPr w:rsidR="009201AC" w:rsidRPr="00C33987" w:rsidSect="008F5497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51" w:rsidRDefault="000B1A51">
      <w:r>
        <w:separator/>
      </w:r>
    </w:p>
  </w:endnote>
  <w:endnote w:type="continuationSeparator" w:id="0">
    <w:p w:rsidR="000B1A51" w:rsidRDefault="000B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51" w:rsidRPr="00D07C9A" w:rsidRDefault="000B1A51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>Fonds d’</w:t>
    </w:r>
    <w:r w:rsidRPr="00D07C9A">
      <w:rPr>
        <w:color w:val="FF0000"/>
        <w:szCs w:val="16"/>
      </w:rPr>
      <w:t>E</w:t>
    </w:r>
    <w:r w:rsidRPr="00D07C9A">
      <w:rPr>
        <w:color w:val="808080"/>
        <w:szCs w:val="16"/>
      </w:rPr>
      <w:t xml:space="preserve">ncouragement aux </w:t>
    </w:r>
    <w:r w:rsidRPr="00D07C9A">
      <w:rPr>
        <w:color w:val="FF0000"/>
        <w:szCs w:val="16"/>
      </w:rPr>
      <w:t>P</w:t>
    </w:r>
    <w:r w:rsidRPr="00D07C9A">
      <w:rPr>
        <w:color w:val="808080"/>
        <w:szCs w:val="16"/>
      </w:rPr>
      <w:t xml:space="preserve">rojets </w:t>
    </w:r>
    <w:r w:rsidRPr="00D07C9A">
      <w:rPr>
        <w:color w:val="FF0000"/>
        <w:szCs w:val="16"/>
      </w:rPr>
      <w:t>E</w:t>
    </w:r>
    <w:r w:rsidRPr="00D07C9A">
      <w:rPr>
        <w:color w:val="808080"/>
        <w:szCs w:val="16"/>
      </w:rPr>
      <w:t xml:space="preserve">questres </w:t>
    </w:r>
    <w:r w:rsidRPr="00D07C9A">
      <w:rPr>
        <w:color w:val="FF0000"/>
        <w:szCs w:val="16"/>
      </w:rPr>
      <w:t>R</w:t>
    </w:r>
    <w:r w:rsidRPr="00D07C9A">
      <w:rPr>
        <w:color w:val="808080"/>
        <w:szCs w:val="16"/>
      </w:rPr>
      <w:t xml:space="preserve">égionaux </w:t>
    </w:r>
    <w:r w:rsidRPr="00D07C9A">
      <w:rPr>
        <w:color w:val="FF0000"/>
        <w:szCs w:val="16"/>
      </w:rPr>
      <w:t>O</w:t>
    </w:r>
    <w:r w:rsidRPr="00D07C9A">
      <w:rPr>
        <w:color w:val="808080"/>
        <w:szCs w:val="16"/>
      </w:rPr>
      <w:t xml:space="preserve">u </w:t>
    </w:r>
    <w:r w:rsidRPr="00D07C9A">
      <w:rPr>
        <w:color w:val="FF0000"/>
        <w:szCs w:val="16"/>
      </w:rPr>
      <w:t>N</w:t>
    </w:r>
    <w:r w:rsidRPr="00D07C9A">
      <w:rPr>
        <w:color w:val="808080"/>
        <w:szCs w:val="16"/>
      </w:rPr>
      <w:t>ationaux</w:t>
    </w:r>
  </w:p>
  <w:p w:rsidR="000B1A51" w:rsidRPr="00D07C9A" w:rsidRDefault="000B1A51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>Secrétariat : F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N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C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F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 xml:space="preserve"> </w:t>
    </w:r>
    <w:r>
      <w:rPr>
        <w:color w:val="808080"/>
        <w:szCs w:val="16"/>
      </w:rPr>
      <w:t>-</w:t>
    </w:r>
    <w:r w:rsidRPr="00D07C9A">
      <w:rPr>
        <w:color w:val="808080"/>
        <w:szCs w:val="16"/>
      </w:rPr>
      <w:t xml:space="preserve"> Fonds Éperon – 10 rue du Faubourg Montmartre – 75009 P</w:t>
    </w:r>
    <w:r>
      <w:rPr>
        <w:color w:val="808080"/>
        <w:szCs w:val="16"/>
      </w:rPr>
      <w:t>aris</w:t>
    </w:r>
  </w:p>
  <w:p w:rsidR="000B1A51" w:rsidRDefault="000B1A51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 xml:space="preserve">Tél. : 01 53 24 10 45 – Fax : 01 53 24 10 47 – Mail : </w:t>
    </w:r>
    <w:hyperlink r:id="rId1" w:history="1">
      <w:r w:rsidRPr="00A61EFF">
        <w:rPr>
          <w:rStyle w:val="Lienhypertexte"/>
          <w:szCs w:val="16"/>
        </w:rPr>
        <w:t>fondseperon@free.fr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51" w:rsidRDefault="000B1A51">
      <w:r>
        <w:separator/>
      </w:r>
    </w:p>
  </w:footnote>
  <w:footnote w:type="continuationSeparator" w:id="0">
    <w:p w:rsidR="000B1A51" w:rsidRDefault="000B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51" w:rsidRPr="002A6DAB" w:rsidRDefault="000B1A51" w:rsidP="00951EBB">
    <w:pPr>
      <w:pStyle w:val="En-tte"/>
      <w:jc w:val="center"/>
      <w:rPr>
        <w:b/>
        <w:color w:val="808080"/>
        <w:sz w:val="40"/>
        <w:szCs w:val="40"/>
      </w:rPr>
    </w:pPr>
    <w:r w:rsidRPr="002A6DAB">
      <w:rPr>
        <w:b/>
        <w:color w:val="808080"/>
        <w:sz w:val="40"/>
        <w:szCs w:val="40"/>
      </w:rPr>
      <w:t>Fonds Éperon</w:t>
    </w:r>
  </w:p>
  <w:p w:rsidR="000B1A51" w:rsidRDefault="000B1A51" w:rsidP="00951EB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7B16DBD" wp14:editId="2CCBBE32">
          <wp:extent cx="1695450" cy="571500"/>
          <wp:effectExtent l="0" t="0" r="0" b="0"/>
          <wp:docPr id="1" name="Image 1" descr="FondsEpero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sEpero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2">
    <w:nsid w:val="0031794B"/>
    <w:multiLevelType w:val="hybridMultilevel"/>
    <w:tmpl w:val="F6E43000"/>
    <w:lvl w:ilvl="0" w:tplc="19FC3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15E27"/>
    <w:multiLevelType w:val="hybridMultilevel"/>
    <w:tmpl w:val="B20049F0"/>
    <w:lvl w:ilvl="0" w:tplc="EA80DE1E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2A3F"/>
    <w:multiLevelType w:val="hybridMultilevel"/>
    <w:tmpl w:val="A306CE88"/>
    <w:lvl w:ilvl="0" w:tplc="EE7831DE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A6C498A"/>
    <w:multiLevelType w:val="hybridMultilevel"/>
    <w:tmpl w:val="A232C6D8"/>
    <w:lvl w:ilvl="0" w:tplc="D4869F88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420D8"/>
    <w:multiLevelType w:val="hybridMultilevel"/>
    <w:tmpl w:val="579EA77A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53D32"/>
    <w:multiLevelType w:val="hybridMultilevel"/>
    <w:tmpl w:val="BCCED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B27F9"/>
    <w:multiLevelType w:val="hybridMultilevel"/>
    <w:tmpl w:val="04A4519C"/>
    <w:lvl w:ilvl="0" w:tplc="927284CC">
      <w:start w:val="6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44C61619"/>
    <w:multiLevelType w:val="hybridMultilevel"/>
    <w:tmpl w:val="459AA6FE"/>
    <w:lvl w:ilvl="0" w:tplc="4A16A49A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730DB"/>
    <w:multiLevelType w:val="hybridMultilevel"/>
    <w:tmpl w:val="02920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A1631"/>
    <w:multiLevelType w:val="hybridMultilevel"/>
    <w:tmpl w:val="E5A48BB0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C24E51"/>
    <w:multiLevelType w:val="hybridMultilevel"/>
    <w:tmpl w:val="818A0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95D30"/>
    <w:multiLevelType w:val="hybridMultilevel"/>
    <w:tmpl w:val="DB7A61E8"/>
    <w:lvl w:ilvl="0" w:tplc="F6442D94">
      <w:start w:val="14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6BDE74C9"/>
    <w:multiLevelType w:val="hybridMultilevel"/>
    <w:tmpl w:val="3788E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C2AE2"/>
    <w:multiLevelType w:val="hybridMultilevel"/>
    <w:tmpl w:val="F8521B70"/>
    <w:lvl w:ilvl="0" w:tplc="A6965248">
      <w:start w:val="5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7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746388796"/>
  </wne:recipientData>
  <wne:recipientData>
    <wne:active wne:val="1"/>
    <wne:hash wne:val="1367308182"/>
  </wne:recipientData>
  <wne:recipientData>
    <wne:active wne:val="1"/>
    <wne:hash wne:val="-38542442"/>
  </wne:recipientData>
  <wne:recipientData>
    <wne:active wne:val="1"/>
    <wne:hash wne:val="-505605734"/>
  </wne:recipientData>
  <wne:recipientData>
    <wne:active wne:val="1"/>
    <wne:hash wne:val="-616347656"/>
  </wne:recipientData>
  <wne:recipientData>
    <wne:active wne:val="1"/>
    <wne:hash wne:val="-2057090288"/>
  </wne:recipientData>
  <wne:recipientData>
    <wne:active wne:val="1"/>
    <wne:hash wne:val="-966532273"/>
  </wne:recipientData>
  <wne:recipientData>
    <wne:active wne:val="1"/>
    <wne:hash wne:val="-223681829"/>
  </wne:recipientData>
  <wne:recipientData>
    <wne:active wne:val="1"/>
    <wne:hash wne:val="-55530315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Documents and Settings\AFPPICC\Mes documents\FONDS EPERON\2009\COMITE ENGAGEMENT\Convocation\Convocation VARIABLE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Feuil1$` "/>
    <w:odso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TITRE1"/>
        <w:mappedName w:val="Fonction"/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1"/>
        <w:mappedName w:val="Adresse 1"/>
        <w:column w:val="4"/>
        <w:lid w:val="fr-FR"/>
      </w:fieldMapData>
      <w:fieldMapData>
        <w:type w:val="dbColumn"/>
        <w:name w:val="ADRESSE2"/>
        <w:mappedName w:val="Adresse 2"/>
        <w:column w:val="5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3"/>
        <w:mappedName w:val="Adresse 3"/>
        <w:column w:val="6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C6"/>
    <w:rsid w:val="00022175"/>
    <w:rsid w:val="00022AF0"/>
    <w:rsid w:val="000302A7"/>
    <w:rsid w:val="000326E1"/>
    <w:rsid w:val="0003538A"/>
    <w:rsid w:val="000363C7"/>
    <w:rsid w:val="00040991"/>
    <w:rsid w:val="000467E7"/>
    <w:rsid w:val="00054FD7"/>
    <w:rsid w:val="000804D8"/>
    <w:rsid w:val="00086141"/>
    <w:rsid w:val="000B1A51"/>
    <w:rsid w:val="000D7282"/>
    <w:rsid w:val="000E43B3"/>
    <w:rsid w:val="000F57AD"/>
    <w:rsid w:val="001078BE"/>
    <w:rsid w:val="0012148D"/>
    <w:rsid w:val="00141BAC"/>
    <w:rsid w:val="0017620D"/>
    <w:rsid w:val="00190FF3"/>
    <w:rsid w:val="001C066F"/>
    <w:rsid w:val="001C1F75"/>
    <w:rsid w:val="001C5CCD"/>
    <w:rsid w:val="001E643D"/>
    <w:rsid w:val="001F0FA6"/>
    <w:rsid w:val="0020598A"/>
    <w:rsid w:val="00212748"/>
    <w:rsid w:val="00225FF4"/>
    <w:rsid w:val="00234597"/>
    <w:rsid w:val="00254EB5"/>
    <w:rsid w:val="0026353B"/>
    <w:rsid w:val="002711EF"/>
    <w:rsid w:val="002A6D22"/>
    <w:rsid w:val="002A6DAB"/>
    <w:rsid w:val="002B1DD8"/>
    <w:rsid w:val="002B5CCB"/>
    <w:rsid w:val="002D095D"/>
    <w:rsid w:val="002D2D56"/>
    <w:rsid w:val="002D31F1"/>
    <w:rsid w:val="002F0B50"/>
    <w:rsid w:val="002F142E"/>
    <w:rsid w:val="002F2193"/>
    <w:rsid w:val="002F3310"/>
    <w:rsid w:val="002F3BB1"/>
    <w:rsid w:val="002F4BCC"/>
    <w:rsid w:val="003071B3"/>
    <w:rsid w:val="00311596"/>
    <w:rsid w:val="003341A9"/>
    <w:rsid w:val="00356114"/>
    <w:rsid w:val="00372F60"/>
    <w:rsid w:val="00392225"/>
    <w:rsid w:val="00394348"/>
    <w:rsid w:val="003950F4"/>
    <w:rsid w:val="003A1A75"/>
    <w:rsid w:val="003B3FE5"/>
    <w:rsid w:val="003B4685"/>
    <w:rsid w:val="003C1D2B"/>
    <w:rsid w:val="003C6F57"/>
    <w:rsid w:val="003D28C0"/>
    <w:rsid w:val="003F48E0"/>
    <w:rsid w:val="0040167E"/>
    <w:rsid w:val="004019BA"/>
    <w:rsid w:val="00410B09"/>
    <w:rsid w:val="004361D3"/>
    <w:rsid w:val="0044016E"/>
    <w:rsid w:val="00440B89"/>
    <w:rsid w:val="0044652F"/>
    <w:rsid w:val="004525E4"/>
    <w:rsid w:val="00477C08"/>
    <w:rsid w:val="00494838"/>
    <w:rsid w:val="004A63A9"/>
    <w:rsid w:val="004B62E1"/>
    <w:rsid w:val="004C26EC"/>
    <w:rsid w:val="004C77E9"/>
    <w:rsid w:val="004D0201"/>
    <w:rsid w:val="004D3FA8"/>
    <w:rsid w:val="004D4B92"/>
    <w:rsid w:val="005061A7"/>
    <w:rsid w:val="00507C1E"/>
    <w:rsid w:val="00510078"/>
    <w:rsid w:val="00513099"/>
    <w:rsid w:val="005213B4"/>
    <w:rsid w:val="00521D7A"/>
    <w:rsid w:val="005375D7"/>
    <w:rsid w:val="00551495"/>
    <w:rsid w:val="00556E53"/>
    <w:rsid w:val="0056786B"/>
    <w:rsid w:val="005708A0"/>
    <w:rsid w:val="00573779"/>
    <w:rsid w:val="00574BE3"/>
    <w:rsid w:val="00575711"/>
    <w:rsid w:val="00584541"/>
    <w:rsid w:val="00597FB5"/>
    <w:rsid w:val="005A4900"/>
    <w:rsid w:val="005B17BA"/>
    <w:rsid w:val="005B2BC6"/>
    <w:rsid w:val="005C61D0"/>
    <w:rsid w:val="005D50EB"/>
    <w:rsid w:val="005D5AB2"/>
    <w:rsid w:val="005D671B"/>
    <w:rsid w:val="00612217"/>
    <w:rsid w:val="00616EF3"/>
    <w:rsid w:val="00647D65"/>
    <w:rsid w:val="00651C1C"/>
    <w:rsid w:val="00655374"/>
    <w:rsid w:val="00662A2C"/>
    <w:rsid w:val="00670A9D"/>
    <w:rsid w:val="006A04A7"/>
    <w:rsid w:val="006A3327"/>
    <w:rsid w:val="006B1442"/>
    <w:rsid w:val="006B20B9"/>
    <w:rsid w:val="006B3D65"/>
    <w:rsid w:val="006C10AC"/>
    <w:rsid w:val="006C2D5E"/>
    <w:rsid w:val="006C59D0"/>
    <w:rsid w:val="006F20DB"/>
    <w:rsid w:val="006F6675"/>
    <w:rsid w:val="00702B29"/>
    <w:rsid w:val="0071416F"/>
    <w:rsid w:val="007146A1"/>
    <w:rsid w:val="00722F7F"/>
    <w:rsid w:val="007407CB"/>
    <w:rsid w:val="00740C0C"/>
    <w:rsid w:val="00757E28"/>
    <w:rsid w:val="00775917"/>
    <w:rsid w:val="007A3FE2"/>
    <w:rsid w:val="007A73CD"/>
    <w:rsid w:val="007C0C3C"/>
    <w:rsid w:val="008171BA"/>
    <w:rsid w:val="00855A8A"/>
    <w:rsid w:val="0087173C"/>
    <w:rsid w:val="0087365B"/>
    <w:rsid w:val="00880391"/>
    <w:rsid w:val="00883109"/>
    <w:rsid w:val="008C14C8"/>
    <w:rsid w:val="008C58A4"/>
    <w:rsid w:val="008D7AF1"/>
    <w:rsid w:val="008F5497"/>
    <w:rsid w:val="0091293F"/>
    <w:rsid w:val="009201AC"/>
    <w:rsid w:val="00927188"/>
    <w:rsid w:val="009440FD"/>
    <w:rsid w:val="009453BA"/>
    <w:rsid w:val="00951EBB"/>
    <w:rsid w:val="00966048"/>
    <w:rsid w:val="00970343"/>
    <w:rsid w:val="009751BB"/>
    <w:rsid w:val="009759B3"/>
    <w:rsid w:val="0099282D"/>
    <w:rsid w:val="009F5993"/>
    <w:rsid w:val="009F6B2F"/>
    <w:rsid w:val="009F6DF7"/>
    <w:rsid w:val="009F7829"/>
    <w:rsid w:val="00A1134E"/>
    <w:rsid w:val="00A142F1"/>
    <w:rsid w:val="00A249CE"/>
    <w:rsid w:val="00A27B8B"/>
    <w:rsid w:val="00A30DE0"/>
    <w:rsid w:val="00A406E5"/>
    <w:rsid w:val="00A40C76"/>
    <w:rsid w:val="00A40DF0"/>
    <w:rsid w:val="00A41018"/>
    <w:rsid w:val="00A414F6"/>
    <w:rsid w:val="00A605FA"/>
    <w:rsid w:val="00A60815"/>
    <w:rsid w:val="00A612E0"/>
    <w:rsid w:val="00A67ED3"/>
    <w:rsid w:val="00A71F48"/>
    <w:rsid w:val="00A8108F"/>
    <w:rsid w:val="00A82B79"/>
    <w:rsid w:val="00A8376D"/>
    <w:rsid w:val="00A9444D"/>
    <w:rsid w:val="00AB507B"/>
    <w:rsid w:val="00AB6369"/>
    <w:rsid w:val="00AE3AA1"/>
    <w:rsid w:val="00AE5EEC"/>
    <w:rsid w:val="00B04832"/>
    <w:rsid w:val="00B10D89"/>
    <w:rsid w:val="00B11ECC"/>
    <w:rsid w:val="00B21561"/>
    <w:rsid w:val="00B27C8B"/>
    <w:rsid w:val="00B3495C"/>
    <w:rsid w:val="00B4130E"/>
    <w:rsid w:val="00B41EB0"/>
    <w:rsid w:val="00B51FB2"/>
    <w:rsid w:val="00B61C4E"/>
    <w:rsid w:val="00B73D9F"/>
    <w:rsid w:val="00B8162B"/>
    <w:rsid w:val="00B8795C"/>
    <w:rsid w:val="00B923E7"/>
    <w:rsid w:val="00B9262E"/>
    <w:rsid w:val="00BA04AA"/>
    <w:rsid w:val="00BA3E11"/>
    <w:rsid w:val="00BC0F1B"/>
    <w:rsid w:val="00BC1EE4"/>
    <w:rsid w:val="00BD1173"/>
    <w:rsid w:val="00BD404B"/>
    <w:rsid w:val="00BD78ED"/>
    <w:rsid w:val="00BE0CC6"/>
    <w:rsid w:val="00BE6DEB"/>
    <w:rsid w:val="00BF335D"/>
    <w:rsid w:val="00C216DD"/>
    <w:rsid w:val="00C3145F"/>
    <w:rsid w:val="00C33987"/>
    <w:rsid w:val="00C3768D"/>
    <w:rsid w:val="00C415B9"/>
    <w:rsid w:val="00C418AD"/>
    <w:rsid w:val="00C50D49"/>
    <w:rsid w:val="00C53071"/>
    <w:rsid w:val="00C56C92"/>
    <w:rsid w:val="00C61211"/>
    <w:rsid w:val="00C62BA6"/>
    <w:rsid w:val="00C71036"/>
    <w:rsid w:val="00C85F37"/>
    <w:rsid w:val="00C860A1"/>
    <w:rsid w:val="00C96A96"/>
    <w:rsid w:val="00CB1F2D"/>
    <w:rsid w:val="00CB35E8"/>
    <w:rsid w:val="00CC08F3"/>
    <w:rsid w:val="00CD1236"/>
    <w:rsid w:val="00CD33AD"/>
    <w:rsid w:val="00CD3F6E"/>
    <w:rsid w:val="00CD4A40"/>
    <w:rsid w:val="00CD69E2"/>
    <w:rsid w:val="00CF1922"/>
    <w:rsid w:val="00CF3389"/>
    <w:rsid w:val="00D07C9A"/>
    <w:rsid w:val="00D413F6"/>
    <w:rsid w:val="00D4291B"/>
    <w:rsid w:val="00D67440"/>
    <w:rsid w:val="00D836E7"/>
    <w:rsid w:val="00DD092E"/>
    <w:rsid w:val="00E040B2"/>
    <w:rsid w:val="00E1208C"/>
    <w:rsid w:val="00E22CBE"/>
    <w:rsid w:val="00E3605C"/>
    <w:rsid w:val="00E404EE"/>
    <w:rsid w:val="00E554DA"/>
    <w:rsid w:val="00E5743D"/>
    <w:rsid w:val="00E57E44"/>
    <w:rsid w:val="00E93588"/>
    <w:rsid w:val="00E957C0"/>
    <w:rsid w:val="00EB27BF"/>
    <w:rsid w:val="00EB31D3"/>
    <w:rsid w:val="00EC01BA"/>
    <w:rsid w:val="00ED108E"/>
    <w:rsid w:val="00EE2404"/>
    <w:rsid w:val="00EE4EA7"/>
    <w:rsid w:val="00F04538"/>
    <w:rsid w:val="00F21FA5"/>
    <w:rsid w:val="00F55B97"/>
    <w:rsid w:val="00F742C4"/>
    <w:rsid w:val="00F802A8"/>
    <w:rsid w:val="00F80FA7"/>
    <w:rsid w:val="00FA3B8B"/>
    <w:rsid w:val="00FA5AF6"/>
    <w:rsid w:val="00FC3AED"/>
    <w:rsid w:val="00FE6542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A7"/>
    <w:pPr>
      <w:suppressAutoHyphens/>
    </w:pPr>
    <w:rPr>
      <w:lang w:eastAsia="ar-SA"/>
    </w:rPr>
  </w:style>
  <w:style w:type="paragraph" w:styleId="Titre2">
    <w:name w:val="heading 2"/>
    <w:basedOn w:val="Normal"/>
    <w:next w:val="Normal"/>
    <w:qFormat/>
    <w:rsid w:val="006C59D0"/>
    <w:pPr>
      <w:keepNext/>
      <w:tabs>
        <w:tab w:val="num" w:pos="1785"/>
      </w:tabs>
      <w:ind w:left="1785" w:hanging="360"/>
      <w:jc w:val="center"/>
      <w:outlineLvl w:val="1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5C61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5061A7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6C59D0"/>
    <w:pPr>
      <w:ind w:firstLine="1080"/>
    </w:pPr>
    <w:rPr>
      <w:sz w:val="24"/>
      <w:szCs w:val="24"/>
    </w:rPr>
  </w:style>
  <w:style w:type="paragraph" w:customStyle="1" w:styleId="Contenudetableau">
    <w:name w:val="Contenu de tableau"/>
    <w:basedOn w:val="Normal"/>
    <w:rsid w:val="005C61D0"/>
    <w:pPr>
      <w:suppressLineNumbers/>
    </w:pPr>
    <w:rPr>
      <w:sz w:val="24"/>
      <w:szCs w:val="24"/>
    </w:rPr>
  </w:style>
  <w:style w:type="paragraph" w:styleId="Corpsdetexte">
    <w:name w:val="Body Text"/>
    <w:basedOn w:val="Normal"/>
    <w:rsid w:val="00234597"/>
    <w:pPr>
      <w:spacing w:after="120"/>
    </w:pPr>
  </w:style>
  <w:style w:type="paragraph" w:styleId="Paragraphedeliste">
    <w:name w:val="List Paragraph"/>
    <w:basedOn w:val="Normal"/>
    <w:uiPriority w:val="34"/>
    <w:qFormat/>
    <w:rsid w:val="009F7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A7"/>
    <w:pPr>
      <w:suppressAutoHyphens/>
    </w:pPr>
    <w:rPr>
      <w:lang w:eastAsia="ar-SA"/>
    </w:rPr>
  </w:style>
  <w:style w:type="paragraph" w:styleId="Titre2">
    <w:name w:val="heading 2"/>
    <w:basedOn w:val="Normal"/>
    <w:next w:val="Normal"/>
    <w:qFormat/>
    <w:rsid w:val="006C59D0"/>
    <w:pPr>
      <w:keepNext/>
      <w:tabs>
        <w:tab w:val="num" w:pos="1785"/>
      </w:tabs>
      <w:ind w:left="1785" w:hanging="360"/>
      <w:jc w:val="center"/>
      <w:outlineLvl w:val="1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5C61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5061A7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6C59D0"/>
    <w:pPr>
      <w:ind w:firstLine="1080"/>
    </w:pPr>
    <w:rPr>
      <w:sz w:val="24"/>
      <w:szCs w:val="24"/>
    </w:rPr>
  </w:style>
  <w:style w:type="paragraph" w:customStyle="1" w:styleId="Contenudetableau">
    <w:name w:val="Contenu de tableau"/>
    <w:basedOn w:val="Normal"/>
    <w:rsid w:val="005C61D0"/>
    <w:pPr>
      <w:suppressLineNumbers/>
    </w:pPr>
    <w:rPr>
      <w:sz w:val="24"/>
      <w:szCs w:val="24"/>
    </w:rPr>
  </w:style>
  <w:style w:type="paragraph" w:styleId="Corpsdetexte">
    <w:name w:val="Body Text"/>
    <w:basedOn w:val="Normal"/>
    <w:rsid w:val="00234597"/>
    <w:pPr>
      <w:spacing w:after="120"/>
    </w:pPr>
  </w:style>
  <w:style w:type="paragraph" w:styleId="Paragraphedeliste">
    <w:name w:val="List Paragraph"/>
    <w:basedOn w:val="Normal"/>
    <w:uiPriority w:val="34"/>
    <w:qFormat/>
    <w:rsid w:val="009F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seperon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Documents%20and%20Settings\AFPPICC\Mes%20documents\FONDS%20EPERON\Christophe%20FNCF%20-%20FondsEperon\Papier%20Entete%20FondsEperon%20Ad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Entete FondsEperon Adresse.dot</Template>
  <TotalTime>97</TotalTime>
  <Pages>2</Pages>
  <Words>318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CHARLES Christophe</Company>
  <LinksUpToDate>false</LinksUpToDate>
  <CharactersWithSpaces>2155</CharactersWithSpaces>
  <SharedDoc>false</SharedDoc>
  <HLinks>
    <vt:vector size="6" baseType="variant">
      <vt:variant>
        <vt:i4>2752543</vt:i4>
      </vt:variant>
      <vt:variant>
        <vt:i4>6</vt:i4>
      </vt:variant>
      <vt:variant>
        <vt:i4>0</vt:i4>
      </vt:variant>
      <vt:variant>
        <vt:i4>5</vt:i4>
      </vt:variant>
      <vt:variant>
        <vt:lpwstr>mailto:fondseperon@free.fr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AFPPICC</dc:creator>
  <cp:lastModifiedBy>Caroline COURNUT</cp:lastModifiedBy>
  <cp:revision>11</cp:revision>
  <cp:lastPrinted>2013-02-06T14:17:00Z</cp:lastPrinted>
  <dcterms:created xsi:type="dcterms:W3CDTF">2012-09-21T13:29:00Z</dcterms:created>
  <dcterms:modified xsi:type="dcterms:W3CDTF">2013-02-06T14:35:00Z</dcterms:modified>
</cp:coreProperties>
</file>